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jc w:val="center"/>
        <w:tblInd w:type="dxa" w:w="0"/>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103"/>
          <w:bottom w:type="dxa" w:w="0"/>
          <w:right w:type="dxa" w:w="108"/>
        </w:tblCellMar>
      </w:tblPr>
      <w:tblGrid>
        <w:gridCol w:w="9638"/>
      </w:tblGrid>
      <w:tr>
        <w:trPr>
          <w:trHeight w:hRule="atLeast" w:val="421"/>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ПРЕДМЕТ:</w:t>
            </w:r>
            <w:r>
              <w:rPr>
                <w:rFonts w:ascii="Times New Roman" w:cs="Times New Roman" w:eastAsia="Times New Roman" w:hAnsi="Times New Roman"/>
                <w:b/>
                <w:bCs/>
                <w:color w:val="000000"/>
                <w:sz w:val="24"/>
                <w:szCs w:val="24"/>
                <w:lang w:eastAsia="en-US" w:val="en-US"/>
              </w:rPr>
              <w:t xml:space="preserve">    Социологија</w:t>
            </w:r>
            <w:r>
              <w:rPr>
                <w:rFonts w:ascii="Times New Roman" w:cs="Times New Roman" w:eastAsia="Times New Roman" w:hAnsi="Times New Roman"/>
                <w:bCs/>
                <w:color w:val="000000"/>
                <w:sz w:val="24"/>
                <w:szCs w:val="24"/>
                <w:lang w:eastAsia="en-US" w:val="en-US"/>
              </w:rPr>
              <w:t xml:space="preserve"> </w:t>
            </w:r>
          </w:p>
        </w:tc>
      </w:tr>
      <w:tr>
        <w:trPr>
          <w:trHeight w:hRule="atLeast" w:val="413"/>
          <w:cantSplit w:val="false"/>
        </w:trPr>
        <w:tc>
          <w:tcPr>
            <w:tcW w:type="dxa" w:w="3212"/>
            <w:tcBorders>
              <w:top w:color="00000A" w:space="0" w:sz="4" w:val="single"/>
              <w:left w:color="00000A" w:space="0" w:sz="4" w:val="single"/>
              <w:bottom w:color="00000A" w:space="0" w:sz="4" w:val="single"/>
              <w:right w:val="nil"/>
            </w:tcBorders>
            <w:shd w:fill="F2F2F2" w:val="clear"/>
            <w:tcMar>
              <w:left w:type="dxa" w:w="103"/>
            </w:tcMa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Cs/>
                <w:color w:val="000000"/>
                <w:sz w:val="24"/>
                <w:szCs w:val="24"/>
                <w:lang w:eastAsia="en-US" w:val="en-US"/>
              </w:rPr>
              <w:t>УЏБЕНИК:</w:t>
            </w:r>
            <w:r>
              <w:rPr>
                <w:rFonts w:ascii="Times New Roman" w:cs="Times New Roman" w:eastAsia="Times New Roman" w:hAnsi="Times New Roman"/>
                <w:b/>
                <w:bCs/>
                <w:color w:val="000000"/>
                <w:sz w:val="24"/>
                <w:szCs w:val="24"/>
                <w:lang w:eastAsia="en-US" w:val="en-US"/>
              </w:rPr>
              <w:t xml:space="preserve"> </w:t>
            </w:r>
          </w:p>
        </w:tc>
        <w:tc>
          <w:tcPr>
            <w:tcW w:type="dxa" w:w="3213"/>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
                <w:bCs/>
                <w:color w:val="000000"/>
                <w:sz w:val="24"/>
                <w:szCs w:val="24"/>
                <w:lang w:eastAsia="en-US" w:val="en-US"/>
              </w:rPr>
              <w:t>Социологија</w:t>
            </w:r>
            <w:r>
              <w:rPr>
                <w:rFonts w:ascii="Times New Roman" w:cs="Times New Roman" w:eastAsia="Times New Roman" w:hAnsi="Times New Roman"/>
                <w:b/>
                <w:bCs/>
                <w:color w:val="000000"/>
                <w:sz w:val="24"/>
                <w:szCs w:val="24"/>
                <w:lang w:eastAsia="en-US"/>
              </w:rPr>
              <w:t xml:space="preserve"> </w:t>
            </w:r>
            <w:r>
              <w:rPr>
                <w:rFonts w:ascii="Times New Roman" w:cs="Times New Roman" w:eastAsia="Times New Roman" w:hAnsi="Times New Roman"/>
                <w:b/>
                <w:bCs/>
                <w:color w:val="000000"/>
                <w:sz w:val="24"/>
                <w:szCs w:val="24"/>
                <w:lang w:eastAsia="en-US" w:val="en-US"/>
              </w:rPr>
              <w:t>за</w:t>
            </w:r>
            <w:r>
              <w:rPr>
                <w:rFonts w:ascii="Times New Roman" w:cs="Times New Roman" w:eastAsia="Times New Roman" w:hAnsi="Times New Roman"/>
                <w:b/>
                <w:bCs/>
                <w:color w:val="000000"/>
                <w:sz w:val="24"/>
                <w:szCs w:val="24"/>
                <w:lang w:eastAsia="en-US"/>
              </w:rPr>
              <w:t xml:space="preserve"> 4. </w:t>
            </w:r>
            <w:r>
              <w:rPr>
                <w:rFonts w:ascii="Times New Roman" w:cs="Times New Roman" w:eastAsia="Times New Roman" w:hAnsi="Times New Roman"/>
                <w:b/>
                <w:bCs/>
                <w:color w:val="000000"/>
                <w:sz w:val="24"/>
                <w:szCs w:val="24"/>
                <w:lang w:eastAsia="en-US" w:val="en-US"/>
              </w:rPr>
              <w:t>разред гимназије и 3. разред средњих стручних школа</w:t>
            </w:r>
          </w:p>
        </w:tc>
        <w:tc>
          <w:tcPr>
            <w:tcW w:type="dxa" w:w="3213"/>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Cs/>
                <w:color w:val="000000"/>
                <w:sz w:val="24"/>
                <w:szCs w:val="24"/>
                <w:lang w:eastAsia="en-US" w:val="en-US"/>
              </w:rPr>
              <w:t xml:space="preserve">ИЗДАВАЧ: </w:t>
            </w:r>
            <w:r>
              <w:rPr>
                <w:rFonts w:ascii="Times New Roman" w:cs="Times New Roman" w:eastAsia="Times New Roman" w:hAnsi="Times New Roman"/>
                <w:b/>
                <w:bCs/>
                <w:color w:val="000000"/>
                <w:sz w:val="24"/>
                <w:szCs w:val="24"/>
                <w:lang w:eastAsia="en-US" w:val="en-US"/>
              </w:rPr>
              <w:t>Дата Статус</w:t>
            </w:r>
          </w:p>
        </w:tc>
      </w:tr>
      <w:tr>
        <w:trPr>
          <w:trHeight w:hRule="atLeast" w:val="419"/>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Cs/>
                <w:color w:val="000000"/>
                <w:sz w:val="24"/>
                <w:szCs w:val="24"/>
                <w:lang w:eastAsia="en-US" w:val="en-US"/>
              </w:rPr>
              <w:t>НАСТАВНИК</w:t>
            </w:r>
            <w:r>
              <w:rPr>
                <w:rFonts w:ascii="Times New Roman" w:cs="Times New Roman" w:eastAsia="Times New Roman" w:hAnsi="Times New Roman"/>
                <w:b/>
                <w:bCs/>
                <w:color w:val="000000"/>
                <w:sz w:val="24"/>
                <w:szCs w:val="24"/>
                <w:lang w:eastAsia="en-US" w:val="en-US"/>
              </w:rPr>
              <w:t xml:space="preserve">: </w:t>
            </w:r>
          </w:p>
        </w:tc>
      </w:tr>
      <w:tr>
        <w:trPr>
          <w:trHeight w:hRule="atLeast" w:val="411"/>
          <w:cantSplit w:val="false"/>
        </w:trPr>
        <w:tc>
          <w:tcPr>
            <w:tcW w:type="dxa" w:w="3212"/>
            <w:tcBorders>
              <w:top w:color="00000A" w:space="0" w:sz="4" w:val="single"/>
              <w:left w:color="00000A" w:space="0" w:sz="4" w:val="single"/>
              <w:bottom w:color="00000A" w:space="0" w:sz="4" w:val="double"/>
              <w:right w:val="nil"/>
            </w:tcBorders>
            <w:shd w:fill="F2F2F2" w:val="clear"/>
            <w:tcMar>
              <w:left w:type="dxa" w:w="103"/>
            </w:tcMar>
            <w:vAlign w:val="cente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Cs/>
                <w:color w:val="000000"/>
                <w:sz w:val="24"/>
                <w:szCs w:val="24"/>
                <w:lang w:eastAsia="en-US" w:val="en-US"/>
              </w:rPr>
              <w:t>ЧАС БРОЈ</w:t>
            </w:r>
            <w:r>
              <w:rPr>
                <w:rFonts w:ascii="Times New Roman" w:cs="Times New Roman" w:eastAsia="Times New Roman" w:hAnsi="Times New Roman"/>
                <w:b/>
                <w:bCs/>
                <w:color w:val="000000"/>
                <w:sz w:val="24"/>
                <w:szCs w:val="24"/>
                <w:lang w:eastAsia="en-US"/>
              </w:rPr>
              <w:t xml:space="preserve">: </w:t>
            </w:r>
            <w:r>
              <w:rPr>
                <w:rFonts w:ascii="Times New Roman" w:cs="Times New Roman" w:eastAsia="Times New Roman" w:hAnsi="Times New Roman"/>
                <w:b/>
                <w:bCs/>
                <w:color w:val="000000"/>
                <w:sz w:val="24"/>
                <w:szCs w:val="24"/>
                <w:lang w:eastAsia="en-US" w:val="en-US"/>
              </w:rPr>
              <w:t>24</w:t>
            </w:r>
          </w:p>
        </w:tc>
        <w:tc>
          <w:tcPr>
            <w:tcW w:type="dxa" w:w="3213"/>
            <w:tcBorders>
              <w:top w:color="00000A" w:space="0" w:sz="4" w:val="single"/>
              <w:left w:val="nil"/>
              <w:bottom w:color="00000A" w:space="0" w:sz="4" w:val="double"/>
              <w:right w:val="nil"/>
            </w:tcBorders>
            <w:shd w:fill="F2F2F2" w:val="clear"/>
            <w:tcMar>
              <w:left w:type="dxa" w:w="113"/>
            </w:tcMar>
            <w:vAlign w:val="center"/>
          </w:tcPr>
          <w:p>
            <w:pPr>
              <w:pStyle w:val="style0"/>
              <w:rPr>
                <w:rFonts w:ascii="Times New Roman" w:cs="Times New Roman" w:eastAsia="Times New Roman" w:hAnsi="Times New Roman"/>
                <w:b/>
                <w:bCs/>
                <w:color w:val="000000"/>
                <w:sz w:val="24"/>
                <w:szCs w:val="24"/>
                <w:lang w:eastAsia="en-US"/>
              </w:rPr>
            </w:pPr>
            <w:r>
              <w:rPr>
                <w:rFonts w:ascii="Times New Roman" w:cs="Times New Roman" w:eastAsia="Times New Roman" w:hAnsi="Times New Roman"/>
                <w:bCs/>
                <w:color w:val="000000"/>
                <w:sz w:val="24"/>
                <w:szCs w:val="24"/>
                <w:lang w:eastAsia="en-US" w:val="en-US"/>
              </w:rPr>
              <w:t>ОДЕЉЕЊЕ</w:t>
            </w:r>
            <w:r>
              <w:rPr>
                <w:rFonts w:ascii="Times New Roman" w:cs="Times New Roman" w:eastAsia="Times New Roman" w:hAnsi="Times New Roman"/>
                <w:b/>
                <w:bCs/>
                <w:color w:val="000000"/>
                <w:sz w:val="24"/>
                <w:szCs w:val="24"/>
                <w:lang w:eastAsia="en-US"/>
              </w:rPr>
              <w:t xml:space="preserve">: </w:t>
            </w:r>
          </w:p>
        </w:tc>
        <w:tc>
          <w:tcPr>
            <w:tcW w:type="dxa" w:w="3213"/>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lang w:eastAsia="en-US"/>
              </w:rPr>
            </w:pPr>
            <w:r>
              <w:rPr>
                <w:rFonts w:ascii="Times New Roman" w:cs="Times New Roman" w:eastAsia="Times New Roman" w:hAnsi="Times New Roman"/>
                <w:bCs/>
                <w:color w:val="000000"/>
                <w:sz w:val="24"/>
                <w:szCs w:val="24"/>
                <w:lang w:eastAsia="en-US" w:val="en-US"/>
              </w:rPr>
              <w:t>ДАТУМ</w:t>
            </w:r>
            <w:r>
              <w:rPr>
                <w:rFonts w:ascii="Times New Roman" w:cs="Times New Roman" w:eastAsia="Times New Roman" w:hAnsi="Times New Roman"/>
                <w:b/>
                <w:bCs/>
                <w:color w:val="000000"/>
                <w:sz w:val="24"/>
                <w:szCs w:val="24"/>
                <w:lang w:eastAsia="en-US"/>
              </w:rPr>
              <w:t>:</w:t>
            </w:r>
            <w:r>
              <w:rPr>
                <w:rFonts w:ascii="Times New Roman" w:cs="Times New Roman" w:eastAsia="Times New Roman" w:hAnsi="Times New Roman"/>
                <w:b/>
                <w:bCs/>
                <w:color w:val="000000"/>
                <w:sz w:val="24"/>
                <w:szCs w:val="24"/>
                <w:lang w:eastAsia="en-US" w:val="en-US"/>
              </w:rPr>
              <w:t xml:space="preserve"> </w:t>
            </w:r>
            <w:r>
              <w:rPr>
                <w:rFonts w:ascii="Times New Roman" w:cs="Times New Roman" w:eastAsia="Times New Roman" w:hAnsi="Times New Roman"/>
                <w:b/>
                <w:bCs/>
                <w:color w:val="000000"/>
                <w:sz w:val="24"/>
                <w:szCs w:val="24"/>
                <w:lang w:eastAsia="en-US"/>
              </w:rPr>
              <w:t xml:space="preserve"> </w:t>
            </w:r>
          </w:p>
        </w:tc>
      </w:tr>
      <w:tr>
        <w:trPr>
          <w:trHeight w:hRule="atLeast" w:val="983"/>
          <w:cantSplit w:val="false"/>
        </w:trPr>
        <w:tc>
          <w:tcPr>
            <w:tcW w:type="dxa" w:w="3212"/>
            <w:tcBorders>
              <w:top w:color="00000A" w:space="0" w:sz="4" w:val="doub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Наставна тема:</w:t>
            </w:r>
          </w:p>
        </w:tc>
        <w:tc>
          <w:tcPr>
            <w:tcW w:type="dxa" w:w="6426"/>
            <w:gridSpan w:val="2"/>
            <w:tcBorders>
              <w:top w:color="00000A" w:space="0" w:sz="4" w:val="doub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sz w:val="24"/>
                <w:szCs w:val="24"/>
                <w:lang w:eastAsia="en-US" w:val="en-US"/>
              </w:rPr>
            </w:pPr>
            <w:r>
              <w:rPr>
                <w:rFonts w:ascii="Times New Roman" w:cs="Times New Roman" w:eastAsia="Times New Roman" w:hAnsi="Times New Roman"/>
                <w:b/>
                <w:sz w:val="24"/>
                <w:szCs w:val="24"/>
                <w:lang w:eastAsia="en-US" w:val="en-US"/>
              </w:rPr>
              <w:t>Друштвена структура и друштвене промене</w:t>
            </w:r>
          </w:p>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r>
          </w:p>
        </w:tc>
      </w:tr>
      <w:tr>
        <w:trPr>
          <w:trHeight w:hRule="atLeast" w:val="984"/>
          <w:cantSplit w:val="false"/>
        </w:trPr>
        <w:tc>
          <w:tcPr>
            <w:tcW w:type="dxa" w:w="321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Наставна јединица:</w:t>
            </w:r>
          </w:p>
        </w:tc>
        <w:tc>
          <w:tcPr>
            <w:tcW w:type="dxa" w:w="6426"/>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sz w:val="24"/>
                <w:szCs w:val="24"/>
                <w:lang w:eastAsia="en-US" w:val="en-US"/>
              </w:rPr>
            </w:pPr>
            <w:r>
              <w:rPr>
                <w:rFonts w:ascii="Times New Roman" w:cs="Times New Roman" w:eastAsia="Times New Roman" w:hAnsi="Times New Roman"/>
                <w:b/>
                <w:sz w:val="24"/>
                <w:szCs w:val="24"/>
                <w:lang w:eastAsia="en-US" w:val="en-US"/>
              </w:rPr>
              <w:t>Појам друштвене неједнакости</w:t>
            </w:r>
          </w:p>
        </w:tc>
      </w:tr>
      <w:tr>
        <w:trPr>
          <w:trHeight w:hRule="atLeast" w:val="984"/>
          <w:cantSplit w:val="false"/>
        </w:trPr>
        <w:tc>
          <w:tcPr>
            <w:tcW w:type="dxa" w:w="321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Тип часа:</w:t>
            </w:r>
          </w:p>
        </w:tc>
        <w:tc>
          <w:tcPr>
            <w:tcW w:type="dxa" w:w="6426"/>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Обрада</w:t>
            </w:r>
          </w:p>
        </w:tc>
      </w:tr>
      <w:tr>
        <w:trPr>
          <w:trHeight w:hRule="atLeast" w:val="1128"/>
          <w:cantSplit w:val="false"/>
        </w:trPr>
        <w:tc>
          <w:tcPr>
            <w:tcW w:type="dxa" w:w="321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 xml:space="preserve">Образовно-васпитни циљеви часа: </w:t>
            </w:r>
          </w:p>
        </w:tc>
        <w:tc>
          <w:tcPr>
            <w:tcW w:type="dxa" w:w="6426"/>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28"/>
              <w:numPr>
                <w:ilvl w:val="0"/>
                <w:numId w:val="1"/>
              </w:numPr>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Стицање знања о појму  друштвених неједнакости.</w:t>
            </w:r>
          </w:p>
          <w:p>
            <w:pPr>
              <w:pStyle w:val="style28"/>
              <w:numPr>
                <w:ilvl w:val="0"/>
                <w:numId w:val="1"/>
              </w:numPr>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Разумевање узрока и исхода неједнакости у друштву.</w:t>
            </w:r>
          </w:p>
          <w:p>
            <w:pPr>
              <w:pStyle w:val="style28"/>
              <w:numPr>
                <w:ilvl w:val="0"/>
                <w:numId w:val="1"/>
              </w:numPr>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Развијање свести и осетљивости на неједнакости.</w:t>
            </w:r>
          </w:p>
          <w:p>
            <w:pPr>
              <w:pStyle w:val="style28"/>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r>
          </w:p>
          <w:p>
            <w:pPr>
              <w:pStyle w:val="style1"/>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r>
          </w:p>
        </w:tc>
      </w:tr>
      <w:tr>
        <w:trPr>
          <w:trHeight w:hRule="atLeast" w:val="1128"/>
          <w:cantSplit w:val="false"/>
        </w:trPr>
        <w:tc>
          <w:tcPr>
            <w:tcW w:type="dxa" w:w="321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Исход часа:</w:t>
            </w:r>
          </w:p>
        </w:tc>
        <w:tc>
          <w:tcPr>
            <w:tcW w:type="dxa" w:w="6426"/>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Ученик може да:</w:t>
            </w:r>
          </w:p>
          <w:p>
            <w:pPr>
              <w:pStyle w:val="style28"/>
              <w:numPr>
                <w:ilvl w:val="0"/>
                <w:numId w:val="1"/>
              </w:numPr>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дефинише и објасни појам неједнакости</w:t>
            </w:r>
          </w:p>
          <w:p>
            <w:pPr>
              <w:pStyle w:val="style28"/>
              <w:numPr>
                <w:ilvl w:val="0"/>
                <w:numId w:val="1"/>
              </w:numPr>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објасни узроке и исходе неједнакости</w:t>
            </w:r>
          </w:p>
          <w:p>
            <w:pPr>
              <w:pStyle w:val="style28"/>
              <w:numPr>
                <w:ilvl w:val="0"/>
                <w:numId w:val="1"/>
              </w:numPr>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критички промишља о неједнакостима и предвиђа могуће механизме превазилажења</w:t>
            </w:r>
          </w:p>
        </w:tc>
      </w:tr>
      <w:tr>
        <w:trPr>
          <w:trHeight w:hRule="atLeast" w:val="974"/>
          <w:cantSplit w:val="false"/>
        </w:trPr>
        <w:tc>
          <w:tcPr>
            <w:tcW w:type="dxa" w:w="321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lang w:eastAsia="en-US"/>
              </w:rPr>
            </w:pPr>
            <w:r>
              <w:rPr>
                <w:rFonts w:ascii="Times New Roman" w:cs="Times New Roman" w:eastAsia="Times New Roman" w:hAnsi="Times New Roman"/>
                <w:bCs/>
                <w:color w:val="000000"/>
                <w:sz w:val="24"/>
                <w:szCs w:val="24"/>
                <w:lang w:eastAsia="en-US" w:val="en-US"/>
              </w:rPr>
              <w:t>Облик рада</w:t>
            </w:r>
            <w:r>
              <w:rPr>
                <w:rFonts w:ascii="Times New Roman" w:cs="Times New Roman" w:eastAsia="Times New Roman" w:hAnsi="Times New Roman"/>
                <w:bCs/>
                <w:color w:val="000000"/>
                <w:sz w:val="24"/>
                <w:szCs w:val="24"/>
                <w:lang w:eastAsia="en-US"/>
              </w:rPr>
              <w:t>:</w:t>
            </w:r>
          </w:p>
        </w:tc>
        <w:tc>
          <w:tcPr>
            <w:tcW w:type="dxa" w:w="6426"/>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 xml:space="preserve"> </w:t>
            </w:r>
            <w:r>
              <w:rPr>
                <w:rFonts w:ascii="Times New Roman" w:cs="Times New Roman" w:eastAsia="Times New Roman" w:hAnsi="Times New Roman"/>
                <w:sz w:val="24"/>
                <w:szCs w:val="24"/>
                <w:lang w:eastAsia="en-US" w:val="en-US"/>
              </w:rPr>
              <w:t>Фронтални, индивидуални</w:t>
            </w:r>
          </w:p>
        </w:tc>
      </w:tr>
      <w:tr>
        <w:trPr>
          <w:trHeight w:hRule="atLeast" w:val="832"/>
          <w:cantSplit w:val="false"/>
        </w:trPr>
        <w:tc>
          <w:tcPr>
            <w:tcW w:type="dxa" w:w="321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lang w:eastAsia="en-US"/>
              </w:rPr>
            </w:pPr>
            <w:r>
              <w:rPr>
                <w:rFonts w:ascii="Times New Roman" w:cs="Times New Roman" w:eastAsia="Times New Roman" w:hAnsi="Times New Roman"/>
                <w:bCs/>
                <w:color w:val="000000"/>
                <w:sz w:val="24"/>
                <w:szCs w:val="24"/>
                <w:lang w:eastAsia="en-US" w:val="en-US"/>
              </w:rPr>
              <w:t>Наставне методе</w:t>
            </w:r>
            <w:r>
              <w:rPr>
                <w:rFonts w:ascii="Times New Roman" w:cs="Times New Roman" w:eastAsia="Times New Roman" w:hAnsi="Times New Roman"/>
                <w:bCs/>
                <w:color w:val="000000"/>
                <w:sz w:val="24"/>
                <w:szCs w:val="24"/>
                <w:lang w:eastAsia="en-US"/>
              </w:rPr>
              <w:t>:</w:t>
            </w:r>
          </w:p>
        </w:tc>
        <w:tc>
          <w:tcPr>
            <w:tcW w:type="dxa" w:w="6426"/>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Монолошко – дијалошка (самостално излагање, разговор)</w:t>
            </w:r>
          </w:p>
        </w:tc>
      </w:tr>
      <w:tr>
        <w:trPr>
          <w:trHeight w:hRule="atLeast" w:val="844"/>
          <w:cantSplit w:val="false"/>
        </w:trPr>
        <w:tc>
          <w:tcPr>
            <w:tcW w:type="dxa" w:w="321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lang w:eastAsia="en-US"/>
              </w:rPr>
            </w:pPr>
            <w:r>
              <w:rPr>
                <w:rFonts w:ascii="Times New Roman" w:cs="Times New Roman" w:eastAsia="Times New Roman" w:hAnsi="Times New Roman"/>
                <w:bCs/>
                <w:color w:val="000000"/>
                <w:sz w:val="24"/>
                <w:szCs w:val="24"/>
                <w:lang w:eastAsia="en-US" w:val="en-US"/>
              </w:rPr>
              <w:t>Наставна средства</w:t>
            </w:r>
            <w:r>
              <w:rPr>
                <w:rFonts w:ascii="Times New Roman" w:cs="Times New Roman" w:eastAsia="Times New Roman" w:hAnsi="Times New Roman"/>
                <w:bCs/>
                <w:color w:val="000000"/>
                <w:sz w:val="24"/>
                <w:szCs w:val="24"/>
                <w:lang w:eastAsia="en-US"/>
              </w:rPr>
              <w:t>:</w:t>
            </w:r>
          </w:p>
        </w:tc>
        <w:tc>
          <w:tcPr>
            <w:tcW w:type="dxa" w:w="6426"/>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Уџбеник</w:t>
            </w:r>
          </w:p>
        </w:tc>
      </w:tr>
      <w:tr>
        <w:trPr>
          <w:trHeight w:hRule="atLeast" w:val="253"/>
          <w:cantSplit w:val="false"/>
        </w:trPr>
        <w:tc>
          <w:tcPr>
            <w:tcW w:type="dxa" w:w="321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lang w:eastAsia="en-US"/>
              </w:rPr>
            </w:pPr>
            <w:r>
              <w:rPr>
                <w:rFonts w:ascii="Times New Roman" w:cs="Times New Roman" w:eastAsia="Times New Roman" w:hAnsi="Times New Roman"/>
                <w:bCs/>
                <w:color w:val="000000"/>
                <w:sz w:val="24"/>
                <w:szCs w:val="24"/>
                <w:lang w:eastAsia="en-US" w:val="en-US"/>
              </w:rPr>
              <w:t>Корелација са другим предметима</w:t>
            </w:r>
            <w:r>
              <w:rPr>
                <w:rFonts w:ascii="Times New Roman" w:cs="Times New Roman" w:eastAsia="Times New Roman" w:hAnsi="Times New Roman"/>
                <w:bCs/>
                <w:color w:val="000000"/>
                <w:sz w:val="24"/>
                <w:szCs w:val="24"/>
                <w:lang w:eastAsia="en-US"/>
              </w:rPr>
              <w:t>:</w:t>
            </w:r>
          </w:p>
        </w:tc>
        <w:tc>
          <w:tcPr>
            <w:tcW w:type="dxa" w:w="6426"/>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Историја, психологија</w:t>
            </w:r>
          </w:p>
        </w:tc>
      </w:tr>
      <w:tr>
        <w:trPr>
          <w:trHeight w:hRule="atLeast" w:val="549"/>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center"/>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ТОК ЧАСА</w:t>
            </w:r>
          </w:p>
        </w:tc>
      </w:tr>
      <w:tr>
        <w:trPr>
          <w:trHeight w:hRule="atLeast" w:val="858"/>
          <w:cantSplit w:val="false"/>
        </w:trPr>
        <w:tc>
          <w:tcPr>
            <w:tcW w:type="dxa" w:w="321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Уводни део:</w:t>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rPr>
              <w:t xml:space="preserve">10 </w:t>
            </w:r>
            <w:r>
              <w:rPr>
                <w:rFonts w:ascii="Times New Roman" w:cs="Times New Roman" w:eastAsia="Times New Roman" w:hAnsi="Times New Roman"/>
                <w:color w:val="000000"/>
                <w:sz w:val="24"/>
                <w:szCs w:val="24"/>
                <w:lang w:eastAsia="en-US" w:val="en-US"/>
              </w:rPr>
              <w:t>минута</w:t>
            </w:r>
          </w:p>
        </w:tc>
        <w:tc>
          <w:tcPr>
            <w:tcW w:type="dxa" w:w="6426"/>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Активност 1:</w:t>
            </w:r>
          </w:p>
          <w:p>
            <w:pPr>
              <w:pStyle w:val="style0"/>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Наставник пита ученике да ли им је познат појам неједнакости, да ли их препознају у свом окружењу, да ли су се некада и сами осетили у неједнаком положају у односу на друге и како су то доживели? Како неједнакост утиче на појединца и његове животне шансе?</w:t>
            </w:r>
          </w:p>
          <w:p>
            <w:pPr>
              <w:pStyle w:val="style0"/>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Ученици одговарају и образлажу одговоре.</w:t>
            </w:r>
          </w:p>
        </w:tc>
      </w:tr>
      <w:tr>
        <w:trPr>
          <w:trHeight w:hRule="atLeast" w:val="842"/>
          <w:cantSplit w:val="false"/>
        </w:trPr>
        <w:tc>
          <w:tcPr>
            <w:tcW w:type="dxa" w:w="321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Главни део:</w:t>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rPr>
              <w:t>25</w:t>
            </w:r>
            <w:r>
              <w:rPr>
                <w:rFonts w:ascii="Times New Roman" w:cs="Times New Roman" w:eastAsia="Times New Roman" w:hAnsi="Times New Roman"/>
                <w:color w:val="000000"/>
                <w:sz w:val="24"/>
                <w:szCs w:val="24"/>
                <w:lang w:eastAsia="en-US" w:val="en-US"/>
              </w:rPr>
              <w:t xml:space="preserve"> минута</w:t>
            </w:r>
          </w:p>
        </w:tc>
        <w:tc>
          <w:tcPr>
            <w:tcW w:type="dxa" w:w="6426"/>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tabs>
                <w:tab w:leader="none" w:pos="3720" w:val="center"/>
              </w:tabs>
              <w:jc w:val="both"/>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Активност 2:</w:t>
              <w:tab/>
            </w:r>
          </w:p>
          <w:p>
            <w:pPr>
              <w:pStyle w:val="style0"/>
              <w:tabs>
                <w:tab w:leader="none" w:pos="3720" w:val="center"/>
              </w:tabs>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 xml:space="preserve">Наставник уопштава одговоре ученика доводећи их у везу са основним теоријским одређењима неједнакости. Потом: </w:t>
            </w:r>
          </w:p>
          <w:p>
            <w:pPr>
              <w:pStyle w:val="style0"/>
              <w:tabs>
                <w:tab w:leader="none" w:pos="5447" w:val="left"/>
              </w:tabs>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ab/>
            </w:r>
          </w:p>
          <w:p>
            <w:pPr>
              <w:pStyle w:val="style0"/>
              <w:tabs>
                <w:tab w:leader="none" w:pos="3720" w:val="center"/>
              </w:tabs>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 Истиче основну разлику између природних (биолошких) и друштвених неједнакости; да се сви ми разликујемо према боји коже, изгледу, полу, старости, занимању.... оног момента када се некој од ових категорија да посебна важност, прида виши значај долазимо до тога да се природним разликама придаје, приписује друштвено значење. Друштвене неједнакости су  неједнакости између појединца и група којима је приписано друштвено значење. То значи да су неједнакости друштвено условљене и неким појединцима олакшавају а некима отежавају приступ значајним ресурсима. Оне настају унутар сложених друштвених односа у којима се материјално богатство, моћ и углед неједнако прераспоређују према билолошким и социјалним особинама.</w:t>
            </w:r>
          </w:p>
          <w:p>
            <w:pPr>
              <w:pStyle w:val="style0"/>
              <w:tabs>
                <w:tab w:leader="none" w:pos="3720" w:val="center"/>
              </w:tabs>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 Потом указује како настају неједнакости у друштву; унутар сложених друштвених односа појединци и групе делују по основу писаних и неписаних правила (објашњава однос и функционисање појединаца и група према формалним и неформалним правилима). Истиче идеје једнакости којима теже савремена демократска друштва, готово је правилност да што то су писана правила (закони) јасни и доследнији појединцима је лакше да се сналазе и неједнакости су мање, а уколико влада одређена моћна група она правила приписује на основу својих интереса, претензија и тиме су неједнакости и разлике у друштву веће.</w:t>
            </w:r>
          </w:p>
          <w:p>
            <w:pPr>
              <w:pStyle w:val="style0"/>
              <w:tabs>
                <w:tab w:leader="none" w:pos="3720" w:val="center"/>
              </w:tabs>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 Наставник излаже кратак историјски осврт развоја неједнакости: идеје неједнакости у античкој грчкој (однос аристократије и робова, идеје Платона и Аристотела); неједнкости у средњем веку (феудализам – кметови, те касније радничка и буржоаска класа); неједнакости и  модерно доба – идеје просветитељства, либералне и социјалне идеологије.</w:t>
            </w:r>
          </w:p>
          <w:p>
            <w:pPr>
              <w:pStyle w:val="style0"/>
              <w:tabs>
                <w:tab w:leader="none" w:pos="3720" w:val="center"/>
              </w:tabs>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 Скреће пажњу ученицима да су сви елементи који утичу на формирање неједнакости променљивог карактера и да се разликују према типовима друштва и културолошком наслеђу али и према особеностима самог појединца и мотивисаности за променом и напредовањем. Такође, понавља тезу о друштвеном конституисању неједнакости. Са тим у вези истиче и да постоји разлика између појма стратификације (раслојавања) и неједнакости те да је раслојавање само један вид неједнакости.</w:t>
            </w:r>
          </w:p>
          <w:p>
            <w:pPr>
              <w:pStyle w:val="style0"/>
              <w:tabs>
                <w:tab w:leader="none" w:pos="3720" w:val="center"/>
              </w:tabs>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 Истиче да како неједнакости тако и особености појединаца делимо на приписане и стечене. Приписане су део наслеђа и могу бити природног (боја коже, пол, интелигенција)  и друштвеног карактера (националност, друштвени углед и положај). Подсећа ученике да су на протеклим часовома говорили о затвореном и отвореном типу друштва и могућностима појединца да напредује те их подстиче да доведу у везу тип друштва, покретљивост и неједнакости.</w:t>
            </w:r>
          </w:p>
          <w:p>
            <w:pPr>
              <w:pStyle w:val="style0"/>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Ученици увиђају везе и образлажу одговоре.</w:t>
            </w:r>
          </w:p>
        </w:tc>
      </w:tr>
      <w:tr>
        <w:trPr>
          <w:trHeight w:hRule="atLeast" w:val="826"/>
          <w:cantSplit w:val="false"/>
        </w:trPr>
        <w:tc>
          <w:tcPr>
            <w:tcW w:type="dxa" w:w="321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Завршни део:</w:t>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5</w:t>
            </w:r>
            <w:r>
              <w:rPr>
                <w:rFonts w:ascii="Times New Roman" w:cs="Times New Roman" w:eastAsia="Times New Roman" w:hAnsi="Times New Roman"/>
                <w:color w:val="000000"/>
                <w:sz w:val="24"/>
                <w:szCs w:val="24"/>
                <w:lang w:eastAsia="en-US"/>
              </w:rPr>
              <w:t xml:space="preserve"> </w:t>
            </w:r>
            <w:r>
              <w:rPr>
                <w:rFonts w:ascii="Times New Roman" w:cs="Times New Roman" w:eastAsia="Times New Roman" w:hAnsi="Times New Roman"/>
                <w:color w:val="000000"/>
                <w:sz w:val="24"/>
                <w:szCs w:val="24"/>
                <w:lang w:eastAsia="en-US" w:val="en-US"/>
              </w:rPr>
              <w:t>минута</w:t>
            </w:r>
          </w:p>
        </w:tc>
        <w:tc>
          <w:tcPr>
            <w:tcW w:type="dxa" w:w="6426"/>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Активност 3:</w:t>
            </w:r>
          </w:p>
          <w:p>
            <w:pPr>
              <w:pStyle w:val="style0"/>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 xml:space="preserve">Наставник усмерава ученике да понове кључне елементе друштвених неједнакости. Ученици истичу главне тезе, дефинишу их и питају за појашњења уколико има нејасноћа. </w:t>
            </w:r>
          </w:p>
          <w:p>
            <w:pPr>
              <w:pStyle w:val="style0"/>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Наставник истиче да ће наредног часа бити речи о врстама друштвених неједнакости те да ученици размисле и информишу се како се све неједнакости испољавају у друштву.</w:t>
            </w:r>
          </w:p>
        </w:tc>
      </w:tr>
      <w:tr>
        <w:trPr>
          <w:trHeight w:hRule="atLeast" w:val="560"/>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center"/>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ЗАПАЖАЊА О ЧАСУ И САМОЕВАЛУАЦИЈА</w:t>
            </w:r>
          </w:p>
        </w:tc>
      </w:tr>
      <w:tr>
        <w:trPr>
          <w:trHeight w:hRule="atLeast" w:val="1121"/>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Проблеми који су настали и како су решени:</w:t>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r>
          </w:p>
        </w:tc>
      </w:tr>
      <w:tr>
        <w:trPr>
          <w:trHeight w:hRule="atLeast" w:val="1122"/>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lang w:eastAsia="en-US" w:val="en-US"/>
              </w:rPr>
            </w:pPr>
            <w:bookmarkStart w:id="0" w:name="_GoBack"/>
            <w:bookmarkEnd w:id="0"/>
            <w:r>
              <w:rPr>
                <w:rFonts w:ascii="Times New Roman" w:cs="Times New Roman" w:eastAsia="Times New Roman" w:hAnsi="Times New Roman"/>
                <w:color w:val="000000"/>
                <w:sz w:val="24"/>
                <w:szCs w:val="24"/>
                <w:lang w:eastAsia="en-US" w:val="en-US"/>
              </w:rPr>
              <w:t>Следећи пут ћу променити/другачије урадити:</w:t>
            </w:r>
          </w:p>
        </w:tc>
      </w:tr>
      <w:tr>
        <w:trPr>
          <w:trHeight w:hRule="atLeast" w:val="1123"/>
          <w:cantSplit w:val="false"/>
        </w:trPr>
        <w:tc>
          <w:tcPr>
            <w:tcW w:type="dxa" w:w="9638"/>
            <w:gridSpan w:val="3"/>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Општа запажања:</w:t>
            </w:r>
          </w:p>
        </w:tc>
      </w:tr>
    </w:tbl>
    <w:p>
      <w:pPr>
        <w:pStyle w:val="style0"/>
        <w:tabs>
          <w:tab w:leader="none" w:pos="8805" w:val="left"/>
        </w:tabs>
        <w:rPr>
          <w:lang w:val="en-US"/>
        </w:rPr>
      </w:pPr>
      <w:r>
        <w:rPr>
          <w:lang w:val="en-US"/>
        </w:rPr>
        <w:t>Ч</w:t>
        <w:tab/>
      </w:r>
    </w:p>
    <w:p>
      <w:pPr>
        <w:pStyle w:val="style0"/>
        <w:rPr/>
      </w:pPr>
      <w:r>
        <w:rPr/>
      </w:r>
    </w:p>
    <w:p>
      <w:pPr>
        <w:pStyle w:val="style0"/>
        <w:rPr/>
      </w:pPr>
      <w:r>
        <w:rPr/>
      </w:r>
    </w:p>
    <w:sectPr>
      <w:type w:val="nextPage"/>
      <w:pgSz w:h="16838" w:w="11906"/>
      <w:pgMar w:bottom="851" w:footer="0" w:gutter="0" w:header="0" w:left="1134" w:right="1134" w:top="851"/>
      <w:pgNumType w:fmt="decimal"/>
      <w:formProt w:val="false"/>
      <w:textDirection w:val="lrTb"/>
      <w:docGrid w:charSpace="8192"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Calibri Light">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bullet"/>
      <w:lvlText w:val="-"/>
      <w:lvlJc w:val="left"/>
      <w:pPr>
        <w:ind w:hanging="360" w:left="720"/>
      </w:pPr>
      <w:rPr>
        <w:rFonts w:ascii="Times New Roman" w:cs="Times New Roman" w:hAnsi="Times New Roman"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pPr>
    <w:rPr>
      <w:rFonts w:ascii="Calibri" w:cs="Calibri" w:eastAsia="Lucida Sans Unicode" w:hAnsi="Calibri"/>
      <w:color w:val="00000A"/>
      <w:sz w:val="22"/>
      <w:szCs w:val="22"/>
      <w:lang w:bidi="ar-SA" w:eastAsia="en-US" w:val="en-US"/>
    </w:rPr>
  </w:style>
  <w:style w:styleId="style1" w:type="paragraph">
    <w:name w:val="Heading 1"/>
    <w:basedOn w:val="style0"/>
    <w:next w:val="style1"/>
    <w:pPr>
      <w:keepNext/>
      <w:keepLines/>
      <w:spacing w:after="0" w:before="240"/>
      <w:contextualSpacing w:val="false"/>
    </w:pPr>
    <w:rPr>
      <w:rFonts w:ascii="Calibri Light" w:cs="" w:hAnsi="Calibri Light"/>
      <w:color w:val="2E74B5"/>
      <w:sz w:val="32"/>
      <w:szCs w:val="32"/>
    </w:rPr>
  </w:style>
  <w:style w:styleId="style15" w:type="character">
    <w:name w:val="Default Paragraph Font"/>
    <w:next w:val="style15"/>
    <w:rPr/>
  </w:style>
  <w:style w:styleId="style16" w:type="character">
    <w:name w:val="Heading 1 Char"/>
    <w:basedOn w:val="style15"/>
    <w:next w:val="style16"/>
    <w:rPr>
      <w:rFonts w:ascii="Calibri Light" w:cs="" w:hAnsi="Calibri Light"/>
      <w:color w:val="2E74B5"/>
      <w:sz w:val="32"/>
      <w:szCs w:val="32"/>
    </w:rPr>
  </w:style>
  <w:style w:styleId="style17" w:type="character">
    <w:name w:val="ListLabel 1"/>
    <w:next w:val="style17"/>
    <w:rPr>
      <w:rFonts w:cs="Times New Roman" w:eastAsia="Times New Roman"/>
    </w:rPr>
  </w:style>
  <w:style w:styleId="style18" w:type="character">
    <w:name w:val="ListLabel 2"/>
    <w:next w:val="style18"/>
    <w:rPr>
      <w:rFonts w:cs="Courier New"/>
    </w:rPr>
  </w:style>
  <w:style w:styleId="style19" w:type="character">
    <w:name w:val="ListLabel 3"/>
    <w:next w:val="style19"/>
    <w:rPr>
      <w:rFonts w:cs="Times New Roman"/>
    </w:rPr>
  </w:style>
  <w:style w:styleId="style20" w:type="character">
    <w:name w:val="ListLabel 4"/>
    <w:next w:val="style20"/>
    <w:rPr>
      <w:rFonts w:cs="Courier New"/>
    </w:rPr>
  </w:style>
  <w:style w:styleId="style21" w:type="character">
    <w:name w:val="ListLabel 5"/>
    <w:next w:val="style21"/>
    <w:rPr>
      <w:rFonts w:cs="Wingdings"/>
    </w:rPr>
  </w:style>
  <w:style w:styleId="style22" w:type="character">
    <w:name w:val="ListLabel 6"/>
    <w:next w:val="style22"/>
    <w:rPr>
      <w:rFonts w:cs="Symbol"/>
    </w:rPr>
  </w:style>
  <w:style w:styleId="style23" w:type="paragraph">
    <w:name w:val="Heading"/>
    <w:basedOn w:val="style0"/>
    <w:next w:val="style24"/>
    <w:pPr>
      <w:keepNext/>
      <w:spacing w:after="120" w:before="240"/>
      <w:contextualSpacing w:val="false"/>
    </w:pPr>
    <w:rPr>
      <w:rFonts w:ascii="Arial" w:cs="Mangal" w:eastAsia="Lucida Sans Unicode" w:hAnsi="Arial"/>
      <w:sz w:val="28"/>
      <w:szCs w:val="28"/>
    </w:rPr>
  </w:style>
  <w:style w:styleId="style24" w:type="paragraph">
    <w:name w:val="Text Body"/>
    <w:basedOn w:val="style0"/>
    <w:next w:val="style24"/>
    <w:pPr>
      <w:spacing w:after="120" w:before="0"/>
      <w:contextualSpacing w:val="false"/>
    </w:pPr>
    <w:rPr/>
  </w:style>
  <w:style w:styleId="style25" w:type="paragraph">
    <w:name w:val="List"/>
    <w:basedOn w:val="style24"/>
    <w:next w:val="style25"/>
    <w:pPr/>
    <w:rPr>
      <w:rFonts w:cs="Mangal"/>
    </w:rPr>
  </w:style>
  <w:style w:styleId="style26" w:type="paragraph">
    <w:name w:val="Caption"/>
    <w:basedOn w:val="style0"/>
    <w:next w:val="style26"/>
    <w:pPr>
      <w:suppressLineNumbers/>
      <w:spacing w:after="120" w:before="120"/>
      <w:contextualSpacing w:val="false"/>
    </w:pPr>
    <w:rPr>
      <w:rFonts w:cs="Mangal"/>
      <w:i/>
      <w:iCs/>
      <w:sz w:val="24"/>
      <w:szCs w:val="24"/>
    </w:rPr>
  </w:style>
  <w:style w:styleId="style27" w:type="paragraph">
    <w:name w:val="Index"/>
    <w:basedOn w:val="style0"/>
    <w:next w:val="style27"/>
    <w:pPr>
      <w:suppressLineNumbers/>
    </w:pPr>
    <w:rPr>
      <w:rFonts w:cs="Mangal"/>
    </w:rPr>
  </w:style>
  <w:style w:styleId="style28" w:type="paragraph">
    <w:name w:val="List Paragraph"/>
    <w:basedOn w:val="style0"/>
    <w:next w:val="style28"/>
    <w:pPr>
      <w:spacing w:after="0" w:before="0"/>
      <w:ind w:hanging="0" w:left="720" w:right="0"/>
      <w:contextualSpacing/>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105</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2016-09-17T12:00:00Z</dcterms:created>
  <dc:creator>Vera Scekic</dc:creator>
  <cp:lastModifiedBy>Sladja</cp:lastModifiedBy>
  <dcterms:modified xsi:type="dcterms:W3CDTF">2016-09-18T18:04:00Z</dcterms:modified>
  <cp:revision>21</cp:revision>
</cp:coreProperties>
</file>